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D12" w:rsidRDefault="006C4D12"/>
    <w:p w:rsidR="003D22EE" w:rsidRPr="003D22EE" w:rsidRDefault="003D22EE" w:rsidP="003D22EE">
      <w:pPr>
        <w:spacing w:after="240" w:line="288" w:lineRule="atLeast"/>
        <w:outlineLvl w:val="0"/>
        <w:rPr>
          <w:rFonts w:ascii="Georgia" w:eastAsia="Times New Roman" w:hAnsi="Georgia" w:cs="Times New Roman"/>
          <w:color w:val="333333"/>
          <w:kern w:val="36"/>
          <w:sz w:val="65"/>
          <w:szCs w:val="65"/>
          <w:shd w:val="clear" w:color="auto" w:fill="FCFCFC"/>
          <w:lang w:eastAsia="it-IT"/>
        </w:rPr>
      </w:pPr>
      <w:r w:rsidRPr="003D22EE">
        <w:rPr>
          <w:rFonts w:ascii="Georgia" w:eastAsia="Times New Roman" w:hAnsi="Georgia" w:cs="Times New Roman"/>
          <w:color w:val="333333"/>
          <w:kern w:val="36"/>
          <w:sz w:val="65"/>
          <w:szCs w:val="65"/>
          <w:shd w:val="clear" w:color="auto" w:fill="FCFCFC"/>
          <w:lang w:eastAsia="it-IT"/>
        </w:rPr>
        <w:t>Enti responsabili per l’immigrazione clandestina</w:t>
      </w:r>
    </w:p>
    <w:p w:rsidR="003D22EE" w:rsidRPr="003D22EE" w:rsidRDefault="003D22EE" w:rsidP="003D22EE">
      <w:pPr>
        <w:shd w:val="clear" w:color="auto" w:fill="FCFCFC"/>
        <w:spacing w:after="240" w:line="288" w:lineRule="atLeast"/>
        <w:outlineLvl w:val="4"/>
        <w:rPr>
          <w:rFonts w:ascii="Georgia" w:eastAsia="Times New Roman" w:hAnsi="Georgia" w:cs="Times New Roman"/>
          <w:sz w:val="24"/>
          <w:szCs w:val="24"/>
          <w:lang w:eastAsia="it-IT"/>
        </w:rPr>
      </w:pPr>
      <w:r w:rsidRPr="003D22EE">
        <w:rPr>
          <w:rFonts w:ascii="Georgia" w:eastAsia="Times New Roman" w:hAnsi="Georgia" w:cs="Times New Roman"/>
          <w:sz w:val="24"/>
          <w:szCs w:val="24"/>
          <w:lang w:eastAsia="it-IT"/>
        </w:rPr>
        <w:t>Maria Francesca Artusi - EUTEKNE.INFO</w:t>
      </w:r>
    </w:p>
    <w:p w:rsidR="003D22EE" w:rsidRDefault="003D22EE" w:rsidP="003D22EE">
      <w:pPr>
        <w:shd w:val="clear" w:color="auto" w:fill="FCFCFC"/>
        <w:spacing w:line="360" w:lineRule="atLeast"/>
        <w:rPr>
          <w:rFonts w:ascii="Georgia" w:eastAsia="Times New Roman" w:hAnsi="Georgia" w:cs="Times New Roman"/>
          <w:b/>
          <w:bCs/>
          <w:noProof/>
          <w:color w:val="333333"/>
          <w:sz w:val="27"/>
          <w:szCs w:val="27"/>
          <w:lang w:eastAsia="it-IT"/>
        </w:rPr>
      </w:pPr>
      <w:r>
        <w:rPr>
          <w:rFonts w:ascii="Georgia" w:eastAsia="Times New Roman" w:hAnsi="Georgia" w:cs="Times New Roman"/>
          <w:b/>
          <w:bCs/>
          <w:noProof/>
          <w:color w:val="333333"/>
          <w:sz w:val="27"/>
          <w:szCs w:val="27"/>
          <w:lang w:eastAsia="it-IT"/>
        </w:rPr>
        <w:t>7.11.2017</w:t>
      </w:r>
    </w:p>
    <w:p w:rsidR="003D22EE" w:rsidRPr="003D22EE" w:rsidRDefault="003D22EE" w:rsidP="003D22EE">
      <w:pPr>
        <w:shd w:val="clear" w:color="auto" w:fill="FCFCFC"/>
        <w:spacing w:line="360" w:lineRule="atLeast"/>
        <w:rPr>
          <w:rFonts w:ascii="Georgia" w:eastAsia="Times New Roman" w:hAnsi="Georgia" w:cs="Times New Roman"/>
          <w:b/>
          <w:bCs/>
          <w:color w:val="333333"/>
          <w:sz w:val="27"/>
          <w:szCs w:val="27"/>
          <w:lang w:eastAsia="it-IT"/>
        </w:rPr>
      </w:pPr>
    </w:p>
    <w:p w:rsidR="003D22EE" w:rsidRPr="003D22EE" w:rsidRDefault="003D22EE" w:rsidP="003D22EE">
      <w:pPr>
        <w:shd w:val="clear" w:color="auto" w:fill="FCFCFC"/>
        <w:spacing w:line="360" w:lineRule="atLeast"/>
        <w:rPr>
          <w:rFonts w:ascii="Georgia" w:eastAsia="Times New Roman" w:hAnsi="Georgia" w:cs="Times New Roman"/>
          <w:color w:val="333333"/>
          <w:sz w:val="27"/>
          <w:szCs w:val="27"/>
          <w:lang w:eastAsia="it-IT"/>
        </w:rPr>
      </w:pPr>
      <w:r w:rsidRPr="003D22EE">
        <w:rPr>
          <w:rFonts w:ascii="Georgia" w:eastAsia="Times New Roman" w:hAnsi="Georgia" w:cs="Times New Roman"/>
          <w:b/>
          <w:color w:val="333333"/>
          <w:sz w:val="28"/>
          <w:szCs w:val="27"/>
          <w:lang w:eastAsia="it-IT"/>
        </w:rPr>
        <w:t xml:space="preserve">Le modifiche al c.d. Codice antimafia – D. </w:t>
      </w:r>
      <w:proofErr w:type="spellStart"/>
      <w:r w:rsidRPr="003D22EE">
        <w:rPr>
          <w:rFonts w:ascii="Georgia" w:eastAsia="Times New Roman" w:hAnsi="Georgia" w:cs="Times New Roman"/>
          <w:b/>
          <w:color w:val="333333"/>
          <w:sz w:val="28"/>
          <w:szCs w:val="27"/>
          <w:lang w:eastAsia="it-IT"/>
        </w:rPr>
        <w:t>Lgs</w:t>
      </w:r>
      <w:proofErr w:type="spellEnd"/>
      <w:r w:rsidRPr="003D22EE">
        <w:rPr>
          <w:rFonts w:ascii="Georgia" w:eastAsia="Times New Roman" w:hAnsi="Georgia" w:cs="Times New Roman"/>
          <w:b/>
          <w:color w:val="333333"/>
          <w:sz w:val="28"/>
          <w:szCs w:val="27"/>
          <w:lang w:eastAsia="it-IT"/>
        </w:rPr>
        <w:t>. 159/2011 – interessano anche la disciplina dedicata alla responsabilità degli enti derivante da reato.</w:t>
      </w:r>
      <w:r w:rsidRPr="003D22EE">
        <w:rPr>
          <w:rFonts w:ascii="Georgia" w:eastAsia="Times New Roman" w:hAnsi="Georgia" w:cs="Times New Roman"/>
          <w:b/>
          <w:color w:val="333333"/>
          <w:sz w:val="28"/>
          <w:szCs w:val="27"/>
          <w:lang w:eastAsia="it-IT"/>
        </w:rPr>
        <w:br/>
      </w:r>
      <w:r w:rsidRPr="003D22EE">
        <w:rPr>
          <w:rFonts w:ascii="Georgia" w:eastAsia="Times New Roman" w:hAnsi="Georgia" w:cs="Times New Roman"/>
          <w:color w:val="333333"/>
          <w:sz w:val="27"/>
          <w:szCs w:val="27"/>
          <w:lang w:eastAsia="it-IT"/>
        </w:rPr>
        <w:br/>
        <w:t xml:space="preserve">La L. </w:t>
      </w:r>
      <w:r w:rsidRPr="003D22EE">
        <w:rPr>
          <w:rFonts w:ascii="Georgia" w:eastAsia="Times New Roman" w:hAnsi="Georgia" w:cs="Times New Roman"/>
          <w:b/>
          <w:color w:val="333333"/>
          <w:sz w:val="27"/>
          <w:szCs w:val="27"/>
          <w:lang w:eastAsia="it-IT"/>
        </w:rPr>
        <w:t>161/2017</w:t>
      </w:r>
      <w:r w:rsidRPr="003D22EE">
        <w:rPr>
          <w:rFonts w:ascii="Georgia" w:eastAsia="Times New Roman" w:hAnsi="Georgia" w:cs="Times New Roman"/>
          <w:color w:val="333333"/>
          <w:sz w:val="27"/>
          <w:szCs w:val="27"/>
          <w:lang w:eastAsia="it-IT"/>
        </w:rPr>
        <w:t xml:space="preserve"> – pubblicata sulla G.U. del 4 novembre 2017 n. 258 – introduce, tra l’altro, alcune ipotesi ulteriori di responsabilità delle persone giuridiche in seno all’articolo 25-duodecies del </w:t>
      </w:r>
      <w:proofErr w:type="spellStart"/>
      <w:r w:rsidRPr="003D22EE">
        <w:rPr>
          <w:rFonts w:ascii="Georgia" w:eastAsia="Times New Roman" w:hAnsi="Georgia" w:cs="Times New Roman"/>
          <w:color w:val="333333"/>
          <w:sz w:val="27"/>
          <w:szCs w:val="27"/>
          <w:lang w:eastAsia="it-IT"/>
        </w:rPr>
        <w:t>DLgs</w:t>
      </w:r>
      <w:proofErr w:type="spellEnd"/>
      <w:r w:rsidRPr="003D22EE">
        <w:rPr>
          <w:rFonts w:ascii="Georgia" w:eastAsia="Times New Roman" w:hAnsi="Georgia" w:cs="Times New Roman"/>
          <w:color w:val="333333"/>
          <w:sz w:val="27"/>
          <w:szCs w:val="27"/>
          <w:lang w:eastAsia="it-IT"/>
        </w:rPr>
        <w:t xml:space="preserve">. 231/2001. Tale norma era stata inserita dal </w:t>
      </w:r>
      <w:proofErr w:type="spellStart"/>
      <w:r w:rsidRPr="003D22EE">
        <w:rPr>
          <w:rFonts w:ascii="Georgia" w:eastAsia="Times New Roman" w:hAnsi="Georgia" w:cs="Times New Roman"/>
          <w:color w:val="333333"/>
          <w:sz w:val="27"/>
          <w:szCs w:val="27"/>
          <w:lang w:eastAsia="it-IT"/>
        </w:rPr>
        <w:t>DLgs</w:t>
      </w:r>
      <w:proofErr w:type="spellEnd"/>
      <w:r w:rsidRPr="003D22EE">
        <w:rPr>
          <w:rFonts w:ascii="Georgia" w:eastAsia="Times New Roman" w:hAnsi="Georgia" w:cs="Times New Roman"/>
          <w:color w:val="333333"/>
          <w:sz w:val="27"/>
          <w:szCs w:val="27"/>
          <w:lang w:eastAsia="it-IT"/>
        </w:rPr>
        <w:t>. 109/2012 per contrastare l’impiego di cittadini di Paesi terzi il cui soggiorno è irregolare.</w:t>
      </w:r>
      <w:r w:rsidRPr="003D22EE">
        <w:rPr>
          <w:rFonts w:ascii="Georgia" w:eastAsia="Times New Roman" w:hAnsi="Georgia" w:cs="Times New Roman"/>
          <w:color w:val="333333"/>
          <w:sz w:val="27"/>
          <w:szCs w:val="27"/>
          <w:lang w:eastAsia="it-IT"/>
        </w:rPr>
        <w:br/>
      </w:r>
      <w:r w:rsidRPr="003D22EE">
        <w:rPr>
          <w:rFonts w:ascii="Georgia" w:eastAsia="Times New Roman" w:hAnsi="Georgia" w:cs="Times New Roman"/>
          <w:color w:val="333333"/>
          <w:sz w:val="27"/>
          <w:szCs w:val="27"/>
          <w:u w:val="single"/>
          <w:lang w:eastAsia="it-IT"/>
        </w:rPr>
        <w:t>A partire dal prossimo 19 novembre</w:t>
      </w:r>
      <w:r w:rsidRPr="003D22EE">
        <w:rPr>
          <w:rFonts w:ascii="Georgia" w:eastAsia="Times New Roman" w:hAnsi="Georgia" w:cs="Times New Roman"/>
          <w:color w:val="333333"/>
          <w:sz w:val="27"/>
          <w:szCs w:val="27"/>
          <w:lang w:eastAsia="it-IT"/>
        </w:rPr>
        <w:t xml:space="preserve"> – data di entrata in vigore dell’art. 30 comma 4 della L. 161/2017 – all’unico comma di questo articolo saranno aggiunti tre ulteriori commi (1-bis, 1-ter e 1-quater), volti a sanzionare alcune condotte di immigrazione clandestina.</w:t>
      </w:r>
      <w:r w:rsidRPr="003D22EE">
        <w:rPr>
          <w:rFonts w:ascii="Georgia" w:eastAsia="Times New Roman" w:hAnsi="Georgia" w:cs="Times New Roman"/>
          <w:color w:val="333333"/>
          <w:sz w:val="27"/>
          <w:szCs w:val="27"/>
          <w:lang w:eastAsia="it-IT"/>
        </w:rPr>
        <w:br/>
      </w:r>
      <w:r w:rsidRPr="003D22EE">
        <w:rPr>
          <w:rFonts w:ascii="Georgia" w:eastAsia="Times New Roman" w:hAnsi="Georgia" w:cs="Times New Roman"/>
          <w:color w:val="333333"/>
          <w:sz w:val="27"/>
          <w:szCs w:val="27"/>
          <w:lang w:eastAsia="it-IT"/>
        </w:rPr>
        <w:br/>
        <w:t xml:space="preserve">In particolare, viene prevista una </w:t>
      </w:r>
      <w:r w:rsidRPr="003D22EE">
        <w:rPr>
          <w:rFonts w:ascii="Georgia" w:eastAsia="Times New Roman" w:hAnsi="Georgia" w:cs="Times New Roman"/>
          <w:b/>
          <w:color w:val="333333"/>
          <w:sz w:val="27"/>
          <w:szCs w:val="27"/>
          <w:lang w:eastAsia="it-IT"/>
        </w:rPr>
        <w:t>sanzione pecuniaria da 400 a 1.000</w:t>
      </w:r>
      <w:r w:rsidRPr="003D22EE">
        <w:rPr>
          <w:rFonts w:ascii="Georgia" w:eastAsia="Times New Roman" w:hAnsi="Georgia" w:cs="Times New Roman"/>
          <w:color w:val="333333"/>
          <w:sz w:val="27"/>
          <w:szCs w:val="27"/>
          <w:lang w:eastAsia="it-IT"/>
        </w:rPr>
        <w:t xml:space="preserve"> quote per gli enti, nel cui interesse o vantaggio venga promosso, diretto, organizzato, finanziato o effettuato il trasporto di stranieri nel territorio dello Stato ovvero compiuti altri atti diretti a procurarne illegalmente l’ingresso nel territorio dello Stato italiano o di altro Stato del quale la persona non è cittadina o non ha titolo di residenza permanente (art. 12 commi, 3, 3-bis e 3-ter del </w:t>
      </w:r>
      <w:proofErr w:type="spellStart"/>
      <w:r w:rsidRPr="003D22EE">
        <w:rPr>
          <w:rFonts w:ascii="Georgia" w:eastAsia="Times New Roman" w:hAnsi="Georgia" w:cs="Times New Roman"/>
          <w:color w:val="333333"/>
          <w:sz w:val="27"/>
          <w:szCs w:val="27"/>
          <w:lang w:eastAsia="it-IT"/>
        </w:rPr>
        <w:t>DLgs</w:t>
      </w:r>
      <w:proofErr w:type="spellEnd"/>
      <w:r w:rsidRPr="003D22EE">
        <w:rPr>
          <w:rFonts w:ascii="Georgia" w:eastAsia="Times New Roman" w:hAnsi="Georgia" w:cs="Times New Roman"/>
          <w:color w:val="333333"/>
          <w:sz w:val="27"/>
          <w:szCs w:val="27"/>
          <w:lang w:eastAsia="it-IT"/>
        </w:rPr>
        <w:t>. 286/1998).</w:t>
      </w:r>
      <w:r w:rsidRPr="003D22EE">
        <w:rPr>
          <w:rFonts w:ascii="Georgia" w:eastAsia="Times New Roman" w:hAnsi="Georgia" w:cs="Times New Roman"/>
          <w:color w:val="333333"/>
          <w:sz w:val="27"/>
          <w:szCs w:val="27"/>
          <w:lang w:eastAsia="it-IT"/>
        </w:rPr>
        <w:br/>
      </w:r>
      <w:r w:rsidRPr="003D22EE">
        <w:rPr>
          <w:rFonts w:ascii="Georgia" w:eastAsia="Times New Roman" w:hAnsi="Georgia" w:cs="Times New Roman"/>
          <w:color w:val="333333"/>
          <w:sz w:val="27"/>
          <w:szCs w:val="27"/>
          <w:lang w:eastAsia="it-IT"/>
        </w:rPr>
        <w:br/>
        <w:t xml:space="preserve">La responsabilità penale dell’ente, così come quella della persona fisica, sorge, tuttavia, solo laddove si verifichi, alternativamente, uno degli </w:t>
      </w:r>
      <w:r>
        <w:rPr>
          <w:rFonts w:ascii="Georgia" w:eastAsia="Times New Roman" w:hAnsi="Georgia" w:cs="Times New Roman"/>
          <w:color w:val="333333"/>
          <w:sz w:val="27"/>
          <w:szCs w:val="27"/>
          <w:lang w:eastAsia="it-IT"/>
        </w:rPr>
        <w:t>u</w:t>
      </w:r>
      <w:r w:rsidRPr="003D22EE">
        <w:rPr>
          <w:rFonts w:ascii="Georgia" w:eastAsia="Times New Roman" w:hAnsi="Georgia" w:cs="Times New Roman"/>
          <w:color w:val="333333"/>
          <w:sz w:val="27"/>
          <w:szCs w:val="27"/>
          <w:lang w:eastAsia="it-IT"/>
        </w:rPr>
        <w:t xml:space="preserve">lteriori presupposti di gravità previsti dall’art. 12 comma 3 del </w:t>
      </w:r>
      <w:proofErr w:type="spellStart"/>
      <w:r w:rsidRPr="003D22EE">
        <w:rPr>
          <w:rFonts w:ascii="Georgia" w:eastAsia="Times New Roman" w:hAnsi="Georgia" w:cs="Times New Roman"/>
          <w:color w:val="333333"/>
          <w:sz w:val="27"/>
          <w:szCs w:val="27"/>
          <w:lang w:eastAsia="it-IT"/>
        </w:rPr>
        <w:t>DLgs</w:t>
      </w:r>
      <w:proofErr w:type="spellEnd"/>
      <w:r w:rsidRPr="003D22EE">
        <w:rPr>
          <w:rFonts w:ascii="Georgia" w:eastAsia="Times New Roman" w:hAnsi="Georgia" w:cs="Times New Roman"/>
          <w:color w:val="333333"/>
          <w:sz w:val="27"/>
          <w:szCs w:val="27"/>
          <w:lang w:eastAsia="it-IT"/>
        </w:rPr>
        <w:t xml:space="preserve">. 286/1998: il fatto riguarda l’ingresso o la permanenza illegale nel territorio dello Stato di cinque o più persone; la persona trasportata è stata esposta a pericolo per la sua vita o per la sua incolumità per procurarne l’ingresso o la permanenza illegale; la persona trasportata è stata sottoposta a trattamento inumano o degradante per </w:t>
      </w:r>
      <w:r w:rsidRPr="003D22EE">
        <w:rPr>
          <w:rFonts w:ascii="Georgia" w:eastAsia="Times New Roman" w:hAnsi="Georgia" w:cs="Times New Roman"/>
          <w:color w:val="333333"/>
          <w:sz w:val="27"/>
          <w:szCs w:val="27"/>
          <w:lang w:eastAsia="it-IT"/>
        </w:rPr>
        <w:lastRenderedPageBreak/>
        <w:t>procurarne l’ingresso o la permanenza illegale; il fatto è commesso da tre o più persone in concorso tra loro o utilizzando servizi internazionali di trasporto ovvero documenti contraffatti o alterati o comunque illegalmente ottenuti; gli autori del fatto hanno la disponibilità di armi o materie esplodenti.</w:t>
      </w:r>
      <w:r w:rsidRPr="003D22EE">
        <w:rPr>
          <w:rFonts w:ascii="Georgia" w:eastAsia="Times New Roman" w:hAnsi="Georgia" w:cs="Times New Roman"/>
          <w:color w:val="333333"/>
          <w:sz w:val="27"/>
          <w:szCs w:val="27"/>
          <w:lang w:eastAsia="it-IT"/>
        </w:rPr>
        <w:br/>
      </w:r>
      <w:r w:rsidRPr="003D22EE">
        <w:rPr>
          <w:rFonts w:ascii="Georgia" w:eastAsia="Times New Roman" w:hAnsi="Georgia" w:cs="Times New Roman"/>
          <w:color w:val="333333"/>
          <w:sz w:val="27"/>
          <w:szCs w:val="27"/>
          <w:lang w:eastAsia="it-IT"/>
        </w:rPr>
        <w:br/>
        <w:t xml:space="preserve">La </w:t>
      </w:r>
      <w:r w:rsidRPr="003D22EE">
        <w:rPr>
          <w:rFonts w:ascii="Georgia" w:eastAsia="Times New Roman" w:hAnsi="Georgia" w:cs="Times New Roman"/>
          <w:b/>
          <w:color w:val="333333"/>
          <w:sz w:val="27"/>
          <w:szCs w:val="27"/>
          <w:lang w:eastAsia="it-IT"/>
        </w:rPr>
        <w:t>sanzione pecuniaria</w:t>
      </w:r>
      <w:r w:rsidRPr="003D22EE">
        <w:rPr>
          <w:rFonts w:ascii="Georgia" w:eastAsia="Times New Roman" w:hAnsi="Georgia" w:cs="Times New Roman"/>
          <w:color w:val="333333"/>
          <w:sz w:val="27"/>
          <w:szCs w:val="27"/>
          <w:lang w:eastAsia="it-IT"/>
        </w:rPr>
        <w:t xml:space="preserve"> per l’ente sarà, invece, compresa tra </w:t>
      </w:r>
      <w:r w:rsidRPr="003D22EE">
        <w:rPr>
          <w:rFonts w:ascii="Georgia" w:eastAsia="Times New Roman" w:hAnsi="Georgia" w:cs="Times New Roman"/>
          <w:b/>
          <w:color w:val="333333"/>
          <w:sz w:val="27"/>
          <w:szCs w:val="27"/>
          <w:lang w:eastAsia="it-IT"/>
        </w:rPr>
        <w:t>100 e 200 quote</w:t>
      </w:r>
      <w:r w:rsidRPr="003D22EE">
        <w:rPr>
          <w:rFonts w:ascii="Georgia" w:eastAsia="Times New Roman" w:hAnsi="Georgia" w:cs="Times New Roman"/>
          <w:color w:val="333333"/>
          <w:sz w:val="27"/>
          <w:szCs w:val="27"/>
          <w:lang w:eastAsia="it-IT"/>
        </w:rPr>
        <w:t xml:space="preserve">, salvo che il fatto non costituisca più grave reato, se viene favorita la permanenza di clandestini nel territorio dello Stato, al fine di trarre un ingiusto profitto dalla condizione di illegalità dello straniero o nell’ambito delle attività sopra descritte (art. 12 comma 5 del </w:t>
      </w:r>
      <w:proofErr w:type="spellStart"/>
      <w:r w:rsidRPr="003D22EE">
        <w:rPr>
          <w:rFonts w:ascii="Georgia" w:eastAsia="Times New Roman" w:hAnsi="Georgia" w:cs="Times New Roman"/>
          <w:color w:val="333333"/>
          <w:sz w:val="27"/>
          <w:szCs w:val="27"/>
          <w:lang w:eastAsia="it-IT"/>
        </w:rPr>
        <w:t>DLgs</w:t>
      </w:r>
      <w:proofErr w:type="spellEnd"/>
      <w:r w:rsidRPr="003D22EE">
        <w:rPr>
          <w:rFonts w:ascii="Georgia" w:eastAsia="Times New Roman" w:hAnsi="Georgia" w:cs="Times New Roman"/>
          <w:color w:val="333333"/>
          <w:sz w:val="27"/>
          <w:szCs w:val="27"/>
          <w:lang w:eastAsia="it-IT"/>
        </w:rPr>
        <w:t>. 286/1998).</w:t>
      </w:r>
      <w:r w:rsidRPr="003D22EE">
        <w:rPr>
          <w:rFonts w:ascii="Georgia" w:eastAsia="Times New Roman" w:hAnsi="Georgia" w:cs="Times New Roman"/>
          <w:color w:val="333333"/>
          <w:sz w:val="27"/>
          <w:szCs w:val="27"/>
          <w:lang w:eastAsia="it-IT"/>
        </w:rPr>
        <w:br/>
      </w:r>
      <w:r w:rsidRPr="003D22EE">
        <w:rPr>
          <w:rFonts w:ascii="Georgia" w:eastAsia="Times New Roman" w:hAnsi="Georgia" w:cs="Times New Roman"/>
          <w:color w:val="333333"/>
          <w:sz w:val="27"/>
          <w:szCs w:val="27"/>
          <w:lang w:eastAsia="it-IT"/>
        </w:rPr>
        <w:br/>
        <w:t xml:space="preserve">In entrambi casi è prevista anche </w:t>
      </w:r>
      <w:r w:rsidRPr="003D22EE">
        <w:rPr>
          <w:rFonts w:ascii="Georgia" w:eastAsia="Times New Roman" w:hAnsi="Georgia" w:cs="Times New Roman"/>
          <w:b/>
          <w:color w:val="333333"/>
          <w:sz w:val="27"/>
          <w:szCs w:val="27"/>
          <w:lang w:eastAsia="it-IT"/>
        </w:rPr>
        <w:t>l’applicazione delle sanzioni interdittive </w:t>
      </w:r>
      <w:r w:rsidRPr="003D22EE">
        <w:rPr>
          <w:rFonts w:ascii="Georgia" w:eastAsia="Times New Roman" w:hAnsi="Georgia" w:cs="Times New Roman"/>
          <w:color w:val="333333"/>
          <w:sz w:val="27"/>
          <w:szCs w:val="27"/>
          <w:lang w:eastAsia="it-IT"/>
        </w:rPr>
        <w:t xml:space="preserve">elencate dall’art. 9 comma 2 del </w:t>
      </w:r>
      <w:proofErr w:type="spellStart"/>
      <w:r w:rsidRPr="003D22EE">
        <w:rPr>
          <w:rFonts w:ascii="Georgia" w:eastAsia="Times New Roman" w:hAnsi="Georgia" w:cs="Times New Roman"/>
          <w:color w:val="333333"/>
          <w:sz w:val="27"/>
          <w:szCs w:val="27"/>
          <w:lang w:eastAsia="it-IT"/>
        </w:rPr>
        <w:t>DLgs</w:t>
      </w:r>
      <w:proofErr w:type="spellEnd"/>
      <w:r w:rsidRPr="003D22EE">
        <w:rPr>
          <w:rFonts w:ascii="Georgia" w:eastAsia="Times New Roman" w:hAnsi="Georgia" w:cs="Times New Roman"/>
          <w:color w:val="333333"/>
          <w:sz w:val="27"/>
          <w:szCs w:val="27"/>
          <w:lang w:eastAsia="it-IT"/>
        </w:rPr>
        <w:t>. 231/2001 per una durata non inferiore a un anno. Si tratta: dell’interdizione dall’esercizio dell’attività; della sospensione o revoca delle autorizzazioni, licenze o concessioni funzionali alla commissione dell’illecito; del divieto di contrattare con la Pubblica Amministrazione, salvo che per ottenere le prestazioni di un pubblico servizio; dell’esclusione da agevolazioni, finanziamenti, contributi o sussidi e dell’eventuale revoca di quelli già concessi; del divieto di pubblicizzare beni o servizi.</w:t>
      </w:r>
      <w:r w:rsidRPr="003D22EE">
        <w:rPr>
          <w:rFonts w:ascii="Georgia" w:eastAsia="Times New Roman" w:hAnsi="Georgia" w:cs="Times New Roman"/>
          <w:color w:val="333333"/>
          <w:sz w:val="27"/>
          <w:szCs w:val="27"/>
          <w:lang w:eastAsia="it-IT"/>
        </w:rPr>
        <w:br/>
      </w:r>
      <w:r w:rsidRPr="003D22EE">
        <w:rPr>
          <w:rFonts w:ascii="Georgia" w:eastAsia="Times New Roman" w:hAnsi="Georgia" w:cs="Times New Roman"/>
          <w:color w:val="333333"/>
          <w:sz w:val="27"/>
          <w:szCs w:val="27"/>
          <w:lang w:eastAsia="it-IT"/>
        </w:rPr>
        <w:br/>
        <w:t xml:space="preserve">Va ricordato, comunque, che la responsabilità dell’ente – come per tutti i reati elencati dal </w:t>
      </w:r>
      <w:proofErr w:type="spellStart"/>
      <w:r w:rsidRPr="003D22EE">
        <w:rPr>
          <w:rFonts w:ascii="Georgia" w:eastAsia="Times New Roman" w:hAnsi="Georgia" w:cs="Times New Roman"/>
          <w:color w:val="333333"/>
          <w:sz w:val="27"/>
          <w:szCs w:val="27"/>
          <w:lang w:eastAsia="it-IT"/>
        </w:rPr>
        <w:t>DLgs</w:t>
      </w:r>
      <w:proofErr w:type="spellEnd"/>
      <w:r w:rsidRPr="003D22EE">
        <w:rPr>
          <w:rFonts w:ascii="Georgia" w:eastAsia="Times New Roman" w:hAnsi="Georgia" w:cs="Times New Roman"/>
          <w:color w:val="333333"/>
          <w:sz w:val="27"/>
          <w:szCs w:val="27"/>
          <w:lang w:eastAsia="it-IT"/>
        </w:rPr>
        <w:t>. 231/2001 – “scatta” laddove una persona fisica (soggetto “apicale” o “sottoposto” secondo quanto stabilito dall’art. 5 del decreto “231”) abbia agito nell’interesse o a vantaggio dell’ente stesso e quest’ultimo non dimostri di aver adottato ed efficacemente attuato un modello organizzativo idoneo a prevenire i reati della specie di quello verificatosi.</w:t>
      </w:r>
      <w:r>
        <w:rPr>
          <w:rFonts w:ascii="Georgia" w:eastAsia="Times New Roman" w:hAnsi="Georgia" w:cs="Times New Roman"/>
          <w:color w:val="333333"/>
          <w:sz w:val="27"/>
          <w:szCs w:val="27"/>
          <w:lang w:eastAsia="it-IT"/>
        </w:rPr>
        <w:t xml:space="preserve"> </w:t>
      </w:r>
      <w:r w:rsidRPr="003D22EE">
        <w:rPr>
          <w:rFonts w:ascii="Georgia" w:eastAsia="Times New Roman" w:hAnsi="Georgia" w:cs="Times New Roman"/>
          <w:color w:val="333333"/>
          <w:sz w:val="27"/>
          <w:szCs w:val="27"/>
          <w:u w:val="single"/>
          <w:lang w:eastAsia="it-IT"/>
        </w:rPr>
        <w:t>Sarà, dunque, necessario “mappare” i possibili rischi di commissione di tali fatti, che ovviamente riguarderanno soprattutto gli enti che in qualche modo operano nel settore dei trasporti o dell’accoglienza</w:t>
      </w:r>
      <w:r w:rsidRPr="003D22EE">
        <w:rPr>
          <w:rFonts w:ascii="Georgia" w:eastAsia="Times New Roman" w:hAnsi="Georgia" w:cs="Times New Roman"/>
          <w:color w:val="333333"/>
          <w:sz w:val="27"/>
          <w:szCs w:val="27"/>
          <w:lang w:eastAsia="it-IT"/>
        </w:rPr>
        <w:t xml:space="preserve"> e adottare o aggiornare il modello</w:t>
      </w:r>
      <w:r>
        <w:rPr>
          <w:rFonts w:ascii="Georgia" w:eastAsia="Times New Roman" w:hAnsi="Georgia" w:cs="Times New Roman"/>
          <w:color w:val="333333"/>
          <w:sz w:val="27"/>
          <w:szCs w:val="27"/>
          <w:lang w:eastAsia="it-IT"/>
        </w:rPr>
        <w:t xml:space="preserve"> </w:t>
      </w:r>
      <w:r w:rsidRPr="003D22EE">
        <w:rPr>
          <w:rFonts w:ascii="Georgia" w:eastAsia="Times New Roman" w:hAnsi="Georgia" w:cs="Times New Roman"/>
          <w:color w:val="333333"/>
          <w:sz w:val="27"/>
          <w:szCs w:val="27"/>
          <w:lang w:eastAsia="it-IT"/>
        </w:rPr>
        <w:t xml:space="preserve">organizzativo e le misure/procedure di prevenzione e controllo ad esso correlate. Contestualmente, l’Organismo di vigilanza nominato ai sensi del </w:t>
      </w:r>
      <w:proofErr w:type="spellStart"/>
      <w:r w:rsidRPr="003D22EE">
        <w:rPr>
          <w:rFonts w:ascii="Georgia" w:eastAsia="Times New Roman" w:hAnsi="Georgia" w:cs="Times New Roman"/>
          <w:color w:val="333333"/>
          <w:sz w:val="27"/>
          <w:szCs w:val="27"/>
          <w:lang w:eastAsia="it-IT"/>
        </w:rPr>
        <w:t>DLgs</w:t>
      </w:r>
      <w:proofErr w:type="spellEnd"/>
      <w:r w:rsidRPr="003D22EE">
        <w:rPr>
          <w:rFonts w:ascii="Georgia" w:eastAsia="Times New Roman" w:hAnsi="Georgia" w:cs="Times New Roman"/>
          <w:color w:val="333333"/>
          <w:sz w:val="27"/>
          <w:szCs w:val="27"/>
          <w:lang w:eastAsia="it-IT"/>
        </w:rPr>
        <w:t>. 231/2001, ove già esistente, sarà chiamato a valutare la necessità o l’opportunità di un aggiornamento del modello in essere alla luce dell’introduzione dei nuovi reati-presupposto.</w:t>
      </w:r>
      <w:r w:rsidRPr="003D22EE">
        <w:rPr>
          <w:rFonts w:ascii="Georgia" w:eastAsia="Times New Roman" w:hAnsi="Georgia" w:cs="Times New Roman"/>
          <w:color w:val="333333"/>
          <w:sz w:val="27"/>
          <w:szCs w:val="27"/>
          <w:lang w:eastAsia="it-IT"/>
        </w:rPr>
        <w:br/>
      </w:r>
      <w:r w:rsidRPr="003D22EE">
        <w:rPr>
          <w:rFonts w:ascii="Georgia" w:eastAsia="Times New Roman" w:hAnsi="Georgia" w:cs="Times New Roman"/>
          <w:color w:val="333333"/>
          <w:sz w:val="27"/>
          <w:szCs w:val="27"/>
          <w:lang w:eastAsia="it-IT"/>
        </w:rPr>
        <w:br/>
        <w:t xml:space="preserve">Va, inoltre, evidenziato un ruolo più generale del modello organizzativo che si colloca nella prospettiva della “prevenzione mediante organizzazione” che il legislatore sta perseguendo sia a livello nazionale che internazionale. Il nuovo </w:t>
      </w:r>
      <w:r w:rsidRPr="003D22EE">
        <w:rPr>
          <w:rFonts w:ascii="Georgia" w:eastAsia="Times New Roman" w:hAnsi="Georgia" w:cs="Times New Roman"/>
          <w:color w:val="333333"/>
          <w:sz w:val="27"/>
          <w:szCs w:val="27"/>
          <w:lang w:eastAsia="it-IT"/>
        </w:rPr>
        <w:lastRenderedPageBreak/>
        <w:t xml:space="preserve">art. 34-bis del Codice antimafia prevede, nell’ambito del controllo giudiziario delle aziende, che il tribunale, nello stabilire i compiti dell’amministratore giudiziario finalizzati alle attività di controllo, possa imporre, tra gli altri, l’obbligo “di adottare ed efficacemente attuare misure organizzative” ai sensi degli articoli 6, 7 e 24-ter del </w:t>
      </w:r>
      <w:proofErr w:type="spellStart"/>
      <w:r w:rsidRPr="003D22EE">
        <w:rPr>
          <w:rFonts w:ascii="Georgia" w:eastAsia="Times New Roman" w:hAnsi="Georgia" w:cs="Times New Roman"/>
          <w:color w:val="333333"/>
          <w:sz w:val="27"/>
          <w:szCs w:val="27"/>
          <w:lang w:eastAsia="it-IT"/>
        </w:rPr>
        <w:t>DLgs</w:t>
      </w:r>
      <w:proofErr w:type="spellEnd"/>
      <w:r w:rsidRPr="003D22EE">
        <w:rPr>
          <w:rFonts w:ascii="Georgia" w:eastAsia="Times New Roman" w:hAnsi="Georgia" w:cs="Times New Roman"/>
          <w:color w:val="333333"/>
          <w:sz w:val="27"/>
          <w:szCs w:val="27"/>
          <w:lang w:eastAsia="it-IT"/>
        </w:rPr>
        <w:t>. 231/2001, cioè con specifico riferimento al contrasto ai delitti connessi alla criminalità organizzata.</w:t>
      </w:r>
    </w:p>
    <w:p w:rsidR="003D22EE" w:rsidRDefault="003D22EE">
      <w:bookmarkStart w:id="0" w:name="_GoBack"/>
      <w:bookmarkEnd w:id="0"/>
    </w:p>
    <w:sectPr w:rsidR="003D22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EE"/>
    <w:rsid w:val="003D22EE"/>
    <w:rsid w:val="006C4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53CD"/>
  <w15:chartTrackingRefBased/>
  <w15:docId w15:val="{C87B417A-13AA-4D23-BC95-CFA4A03C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3D22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5">
    <w:name w:val="heading 5"/>
    <w:basedOn w:val="Normale"/>
    <w:link w:val="Titolo5Carattere"/>
    <w:uiPriority w:val="9"/>
    <w:qFormat/>
    <w:rsid w:val="003D22EE"/>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22EE"/>
    <w:rPr>
      <w:rFonts w:ascii="Times New Roman" w:eastAsia="Times New Roman" w:hAnsi="Times New Roman" w:cs="Times New Roman"/>
      <w:b/>
      <w:bCs/>
      <w:kern w:val="36"/>
      <w:sz w:val="48"/>
      <w:szCs w:val="48"/>
      <w:lang w:eastAsia="it-IT"/>
    </w:rPr>
  </w:style>
  <w:style w:type="character" w:customStyle="1" w:styleId="Titolo5Carattere">
    <w:name w:val="Titolo 5 Carattere"/>
    <w:basedOn w:val="Carpredefinitoparagrafo"/>
    <w:link w:val="Titolo5"/>
    <w:uiPriority w:val="9"/>
    <w:rsid w:val="003D22EE"/>
    <w:rPr>
      <w:rFonts w:ascii="Times New Roman" w:eastAsia="Times New Roman" w:hAnsi="Times New Roman" w:cs="Times New Roman"/>
      <w:b/>
      <w:bCs/>
      <w:sz w:val="20"/>
      <w:szCs w:val="20"/>
      <w:lang w:eastAsia="it-IT"/>
    </w:rPr>
  </w:style>
  <w:style w:type="character" w:customStyle="1" w:styleId="title-abbonamento">
    <w:name w:val="title-abbonamento"/>
    <w:basedOn w:val="Carpredefinitoparagrafo"/>
    <w:rsid w:val="003D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4037">
      <w:bodyDiv w:val="1"/>
      <w:marLeft w:val="0"/>
      <w:marRight w:val="0"/>
      <w:marTop w:val="0"/>
      <w:marBottom w:val="0"/>
      <w:divBdr>
        <w:top w:val="none" w:sz="0" w:space="0" w:color="auto"/>
        <w:left w:val="none" w:sz="0" w:space="0" w:color="auto"/>
        <w:bottom w:val="none" w:sz="0" w:space="0" w:color="auto"/>
        <w:right w:val="none" w:sz="0" w:space="0" w:color="auto"/>
      </w:divBdr>
      <w:divsChild>
        <w:div w:id="1261716786">
          <w:marLeft w:val="0"/>
          <w:marRight w:val="0"/>
          <w:marTop w:val="0"/>
          <w:marBottom w:val="360"/>
          <w:divBdr>
            <w:top w:val="none" w:sz="0" w:space="0" w:color="auto"/>
            <w:left w:val="none" w:sz="0" w:space="0" w:color="auto"/>
            <w:bottom w:val="none" w:sz="0" w:space="0" w:color="auto"/>
            <w:right w:val="none" w:sz="0" w:space="0" w:color="auto"/>
          </w:divBdr>
          <w:divsChild>
            <w:div w:id="541939725">
              <w:marLeft w:val="0"/>
              <w:marRight w:val="0"/>
              <w:marTop w:val="0"/>
              <w:marBottom w:val="360"/>
              <w:divBdr>
                <w:top w:val="none" w:sz="0" w:space="0" w:color="auto"/>
                <w:left w:val="none" w:sz="0" w:space="0" w:color="auto"/>
                <w:bottom w:val="none" w:sz="0" w:space="0" w:color="auto"/>
                <w:right w:val="none" w:sz="0" w:space="0" w:color="auto"/>
              </w:divBdr>
            </w:div>
            <w:div w:id="3938143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740</Words>
  <Characters>4221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Cavallari</dc:creator>
  <cp:keywords/>
  <dc:description/>
  <cp:lastModifiedBy>Cristiano Cavallari</cp:lastModifiedBy>
  <cp:revision>1</cp:revision>
  <dcterms:created xsi:type="dcterms:W3CDTF">2017-11-07T16:14:00Z</dcterms:created>
  <dcterms:modified xsi:type="dcterms:W3CDTF">2017-11-07T16:18:00Z</dcterms:modified>
</cp:coreProperties>
</file>